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risk management strategies by triaging 50+ weekly inventory reimbursement cases by severity and policy eligibility, ensuring compliance with established guidelines.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DNS resolution to catch brand-impersonation attacks before reaching threat feeds (T1110/T1078).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REST APIs, and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exploit and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threat intelligence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