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threats and reducing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patterns, resulting in 200+ weekly cases with spotted fraud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policy violations and anomalous patterns in seller claims, maintaining audit-ready case documentation with investigation findings, decisions,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T1059), mapped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