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detecting recurring fraud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policy violations and anomalous patterns, documenting findings, decisions, evidence, and corrective actions in audit-ready case documentation.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evidence, and corrective actions in audit-ready case documentation for senior review.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for incident response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