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to identify and mitigate potential security threats.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risk management and compliance.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to ensure information security and compliance.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escalation, to prevent security threats and vulnerabilities.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in vendor-neutral format used by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app vulnerabilities, including injection, auth, and SSRF,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flagging newly discovered CVEs with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risk,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