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 and reduced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resolution and reduced risk exposure.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recurring fraud patterns across 200+ weekly cases, flagged them early, and reduced repeat-issue investigation time before escalation, demonstrating proactive risk mitigation.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 in case resolution processes.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Python; generated CVE reports classified by CVSS severity (vulnerability prioritisation)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