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using structured workflows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ensuring accurate and thorough case analysis.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reducing repeat-issue investigation time before escalation and minimizing potential losses.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accurate and transparent case history.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vulnerabilities, including injection, auth, and SSRF;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