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triage, escalation, and decision workflows. Identified policy violations and escalated findings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anomalous patterns, and escalated findings to senior reviewers. Investigated claims to determine policy eligibility and decision outcomes.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 Documented investigation results for senior reviewer review.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 Detected and flagged anomalous patterns in inventory reimbursement cases.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