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improving case quality and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recurring fraud patterns across 200+ weekly cases, flagged them early, and reduced repeat-issue investigation time before escalation, demonstrating proactive risk mitigation.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transparent and accountable case management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through crafted HTTP requests; documented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rules, enhancing SOC efficiency;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