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and Regulatory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Risk and Regulatory incident reporting and IA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