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risk prioritization and escalation workflow, producing daily risk triage report.</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to conduct root cause analysis, identified policy violations and anomalous risk patterns, and escalated findings to senior reviewers, generating risk escalation tickets.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notes capturing investigation findings, evidence, decisions, and corrective actions, creating compliant control evidence for risk tracking.</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Spotted recurring fraud patterns across 200+ weekly cases, flagged early to reduce repeat‑issue investigation time, establishing a risk pattern alert log.</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that submits suspicious URLs and IPs to VirusTotal, AbuseIPDB and URLScan.io and cross-references WHOIS registration age, DNS records and SSL details for phishing analysis pipeline.</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that generates character substitution variants of brand domains and checks live DNS resolution for brand impersonation analysis detector.</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that enables analysts to submit URLs for live IOC enrichment and supports bulk CSV input and output for incident response workflows and includes OSINT enrichment via theHarvester for domain profiling bot interface.</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and generating CVE reports classified by CVSS severity and EPSS context from the FIRST.org API assessment pipeline.</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and documents SQL injection exploit and parameterised query remediation web checker.</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with Bash and cron and built delta-scan logic to flag newly discovered CVEs and organize patch compliance tracking evidence.</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