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5" w:after="3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high-risk cases for early escalation to senior reviewers.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conducting root cause analysis to identify policy violations and anomalous patterns.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detect recurring fraud patterns, reducing repeat-issue investigation time before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capturing investigation findings, decisions, evidence notes, and corrective actions for future reference.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5" w:after="35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