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 identification, risk assessment, control gap analysis, policy-based risk triage,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case notes for inventory reimbursement cases by analyzing risk identification and control gap analysis; documented decision trails and corrective actions in risk assessment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 prioritization framework using policy exception handling and risk triage; tracked compliance tracking evidence and escalation priorities for inventory reimbursement cases.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risk-based decision trails for inventory reimbursement cases by analyzing risk identification and control gap analysis; documented remediation tracking evidence and escalation priorities.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 assessment, control gap analysis, policy-based risk triage, 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risk assessment pipeline integrating Nessus and OpenVAS REST APIs in Python; generated risk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risk-based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risk-based scan scheduling via Bash and cron; built delta-risk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