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identifying recurring fraud patterns, flagging early to reduce repeat-issue investigation time and improve case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evidence, and corrective actions for transparent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