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applying structured workflows for timely decision-making and efficient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anomalies, and escalated findings to senior reviewers for improved case resolution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to reduce repeat-issue investigation time and prevent potential losses, demonstrating proactive risk mitigation.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building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mapping to MITRE ATT&amp;CK TTPs and writing incident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analyzing TCP/IP in Wireshark to detect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