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100% compliance with SLA discipline.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reduce repeat-issue investigation time before escalation, resulting in 25% reduction in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 notes, and corrective actions, ensuring control evidence and compliance tracking.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Operational Risk Control Framework Development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GRC, IT audit, ITGC, risk management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comprehensive risk control framework for Wealth Management business unit, incorporating GRC and IT audit best practices, and documenting risk identification, control gap analysis, and escalation priorities.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policy-based risk triage and risk management, utilizing ITGC to identify and mitigate operational risk, and ensuring documentation completeness and decision trails.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anomaly detection patterns at scale, recognizing repeat-issue flags and early escalation, and utilizing risk management principles to inform control evidence and compliance tracking.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Operational Risk Control Framework Testing and Validation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GRC, IT audit, ITGC, risk management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and implemented control testing framework to validate operational risk controls, leveraging GRC and IT audit methodologies, and documenting risk identification, control gap analysis, and escalation priorities.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risk-based testing and validation, utilizing ITGC to identify and mitigate operational risk, and ensuring documentation completeness and decision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control evidence and compliance tracking, recognizing patterns of non-compliance and informing risk management decisions, and utilizing risk management principles to inform control remediation.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