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and escalated critical cases to senior reviewers.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documented findings in audit-ready case records.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case records, maintaining audit-readiness.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