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 50+ weekly inventory reimbursement cases by severity and policy eligibility, mirroring Information Security and SOC Tier 1 workflows.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and leveraging EPSS scoring from FIRST.org API for prioritisation.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Access Control,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