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to ensure compliance with government regulations.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for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 to support security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financial losses.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