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compliance and regulatory standards.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patterns, demonstrating investigative instincts central to threat analysis and risk assessment.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establish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flagging newly discovered CVEs with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incident response, risk assessment,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