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workflows; achieved 98% triage workflow compliance</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sustained escalation throughput of 45 cases per day</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Documented audit‑ready case records with investigation findings, evidence notes, and corrective actions; maintained a 100% audit readiness score</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Spotted recurring fraud patterns across 200+ weekly cases and flagged them early, cutting repeat‑issue investigation time by 30% before escalation</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an automated vulnerability assessment pipeline in Python that calls Nessus and OpenVAS REST APIs, pulls CVE metadata from the NVD API, classifies findings by CVSS severity and enriches them with EPSS context from the FIRST.org API.</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Created an OWASP Top 10 web security checker in Python that sends crafted HTTP requests to identify injection, broken authentication, and SSRF flaws, then documented the SQL injection exploit and the parameterised query remediation steps.</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Implemented scan scheduling with Bash scripts and cron, added delta‑scan logic to highlight newly disclosed CVEs, and generated patch compliance tracking evidence for each affected asset.</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Splunk SIEM with SPL correlation searches for brute‑force attempts, lateral movement, and privilege escalation, mapped detected TTPs to MITRE ATT&amp;CK, and produced a PICERL incident report.</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an automated detection pipeline in Python that ingests Splunk alerts, enriches IOCs via the VirusTotal API, and dispatches Telegram notifications with severity classification.</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Converted detection logic to vendor‑neutral Sigma rules, performed TCP/IP analysis in Wireshark to spot SYN scans, DNS tunnelling, and plaintext credential exposure, and documented the findings in a Sigma rule set.</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65" w:after="65"/>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65" w:after="65"/>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65" w:after="65"/>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