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early escalation and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uncovering policy violations and anomalous patterns that informed future case triage and security protocols.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flagging them early to minimize repeat-issue investigation time and enhance overall security posture.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files, including investigation findings, decisions, evidence notes, and corrective actions, ensuring transparency and accountability in case resolution.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Splunk SIEM with SPL searches for brute-force detection, lateral movement, and privilege escalation (T1110, T1078, T1059); mapped TTPs to MITRE ATT&amp;CK and wrote SOAR incident report with FIRST.org compliance.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REST APIs, and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