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SOC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Compliance and Risk Management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 simultaneously; cross-references WHOIS registration age, DNS records, and SSL details to produce a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— catches brand-impersonation attacks before they reach threat feeds.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intelligence); supports bulk CSV input/output for incident response workflows and includes osint enrichment (open-source intelligence) via theHarvester for domain profiling.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Regulatory Compliance and Risk Management 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documentation, analysis, management, management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