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data analysis and credit risk assessment on weekly inventory reimbursement cases by severity and policy eligibility, utilizing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risk management and credit analysis.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credit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