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 through early detection of recurring fraud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95% accuracy rate in case documentation.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 by 25%.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