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KYC-related inventory reimbursement cases by severity and policy eligibility, mirroring the structured alert triage and escalation workflow used in AML and information security.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patterns; escalated findings to senior reviewers, demonstrating investigative instincts central to AML and information security.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 in KYC and AML.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 (index=* failed | stats count by src_ip) and mapped TTPs to MITRE ATT&amp;CK (T1110, T1078, T1059) for threat detection.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 with severity classification for threat detection.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(vendor-neutral format used by enterprise SOCs); performed TCP/IP analysis in Wireshark to detect SYN scans, DNS tunnelling, and plaintext credential exposure on unencrypted sessions for threat detection.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for patch prioritization.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detect injection, broken auth, and SSRF vulnerabilities; documented SQL injection exploit and parameterised query remediation for patch prioritization.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