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efficient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improved case accuracy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reduce repeat-issue investigation time before escalation, resulting in enhanced case quality and efficiency.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ensuring transparent and compliant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based on CVSS.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