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resource allocation.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informed risk prioritization and effective remediation.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notes, ensuring compliance tracking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data for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checker, validating web app security controls against regulatory requirements, documenting vulnerability-to-remediation audit trails, including SQL injection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