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4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5" w:after="5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4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200+ weekly cases to spot recurring fraud patterns, reducing repeat-issue investigation time before escalation.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records.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5" w:after="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4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detection, lateral movement, and privilege escalation; mapped TTPs to MITRE ATT&amp;CK (TTP mapping)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 based on CVSS.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5" w:after="5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(vulnerability prioritisation)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 in a structured escalation workflow.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5" w:after="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4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9" w:after="2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9" w:after="2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9" w:after="2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9" w:after="2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9" w:after="2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5" w:after="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4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