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and accurate case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identified policy violations and anomalous patterns, and escalated findings to senior reviewers, reducing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 notes, and corrective actions, maintaining a comprehensive and compliant case record.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 IOC data,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pipeline integrating Nessus and OpenVAS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