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decision-making and efficient case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identified policy violations and anomalous patterns, and escalated findings to senior reviewers, leading to improved case quality and reduced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identify recurring fraud patterns, flagged them early, and reduced repeat-issue investigation time before escalation, resulting in enhanced case triage efficiency.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recording investigation findings, decisions, evidence notes, and corrective actions, ensuring accurate and transparent case history.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Structured Investigation and Escalation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