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security threats and escalating to senior reviewers.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analyzed policy violations and anomalous patterns, and documented evidence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