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reimbursement cases, applying structured control-testing methodology to identify non-compliant claims and document findings for senior review.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policy violations, escalated control gaps to process owners with documented evidence, and ensured regulatory compliance through remediation workflows.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records with investigation rationale, control decisions, and corrective outcomes for compliance monitoring and regulatory reporting.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before reaching threat feeds, leveraging OSINT and data security.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for incident response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 for prioritized risk management.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vulnerabilities,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