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risk and compliance operations.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risk and fraud analysis.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regulatory compliance.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 simultaneously; cross-references WHOIS registration age, DNS records, and SSL details to produce a unified phishing probability score using risk using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— catches brand-impersonation attacks before they reach threat feeds using analyze using assess.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intelligence); supports bulk CSV input/output for incident response workflows and includes OSINT enrichment (open-source intelligence) via theHarvester for domain profiling using risk using management.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 using risk using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 using analyze using assess.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 using risk using management.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analysis, manage,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