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96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7" w:after="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structured triage discipline to prioritize high-risk cases.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 for timely decision-making.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documentation, recording investigation findings, decisions, evidence notes, and corrective actions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Identified recurring fraud patterns across case history and flagged them ahead of weekly review cycles, cutting repeat-issue re-investigation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multi-API threat intelligence pipeline using Python, submitting suspicious URLs/IPs to VirusTotal, AbuseIPDB, and URLScan.io, and cross-referencing WHOIS registration age, DNS records, and SSL details for phishing analysis.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domain detector generating character-substitution variants of brand domains and checking live DNS resolution for brand-impersonation analysis using Python, AbuseIPDB, and WHOIS.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using Python, enabling analysts to submit URLs for live IOC enrichment, supporting bulk CSV input/output for incident response workflows, and including OSINT enrichment via theHarvester for domain profiling.</w:t>
      </w:r>
    </w:p>
    <w:p w14:paraId="50EFC0D0" w14:textId="77777777" w:rsidR="00F85316" w:rsidRDefault="00F85316">
      <w:pPr>
        <w:spacing w:before="39" w:after="9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using Python, integrating Nessus and OpenVAS REST APIs, and generating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using Python, sending crafted HTTP requests to detect injection, broken auth, and SSRF vulnerabilities, and documenting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using Bash and cron, and built delta-scan logic to flag newly discovered CVEs and organize patch compliance tracking evidence using Python and NVD API.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7542F506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24BEE31D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4A1B93A5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EFBFF0E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