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of cases being resolved within SLA.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flagged them early, and reduced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 notes, and corrective actions, ensuring 100% compliance tracking and decision trails.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risk, security,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