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triage, escalation, and decision workflows to produce a consistent case routing protocol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 in a formal escalation report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audit‑ready case documentation that recorded investigation findings, decisions, evidence notes, and corrective actions, creating a comprehensive audit log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repeat‑issue investigation time before escalation and populating a pattern alert list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brute‑force, lateral movement and privilege escalation detection, mapped TTPs to MITRE ATT&amp;CK framework and produced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automation that consumes Splunk alerts, enriches indicators using internal MITRE ATT&amp;CK knowledge base, and generates severity‑classified tickets for response.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existing detection logic into Sigma rule format, validated behavior with Wireshark packet captures of SYN scans and DNS tunnelling, and verified rule coverage against MITRE ATT&amp;CK techniques.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pipeline that submits suspicious URLs and IPs to VirusTotal API and AbuseIPDB, then cross‑references WHOIS registration data and DNS records to produce phishing analysis reports.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Python typosquatting detector that generates character‑substitution variants of target domains, queries WHOIS and DNS for live resolution, and logs impersonation candidates.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Telegram bot in Python that accepts analyst‑submitted URLs, enriches them via VirusTotal API and AbuseIPDB, returns WHOIS details, and outputs results as CSV for incident response.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