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an audit‑ready case queue.</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compliance escalation reports.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decisions, evidence notes, and corrective actions in audit‑ready case files, creating a control evidence repository.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for phishing analysis, producing an enriched threat intel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a typosquatting domain detector in Python that generates character‑substitution variants of brand domains and checks live DNS resolution for brand‑impersonation analysis, outputting a list of suspicious typosquatted domains.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a Telegram bot interface written in Python that enables analysts to submit URLs for live IOC enrichment, supports bulk CSV input and output for incident response workflows, and includes OSINT enrichment via theHarvester for domain profiling, delivering a real‑time IOC enrichment interface.</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vulnerability assessment pipeline in Python that integrates Nessus and OpenVAS REST APIs, generates CVE reports classified by CVSS severity, and enriches findings with EPSS context from the FIRST.org API, creating a comprehensive vulnerability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and documents SQL injection exploit details and parameterised query remediation, producing a detailed web security assessment.</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using Bash and cron, added delta‑scan logic to flag newly discovered CVEs, and organized patch compliance tracking evidence, resulting in a continuous patch compliance evidence set.</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