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 to ensure data privacy compliance.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 to maintain data integrity and prevent policy breaches.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to ensure transparency and accountability in data handling.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to prevent data misuse and maintain data protection.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to produce a unified phishing probability score (EPSS 85).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before they reach threat feeds (T1110).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app vulnerabilities (injection, auth, SSRF)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