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audit-ready case documentation and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notes, maintaining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