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issue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outcomes.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recurring fraud patterns across 200+ weekly cases and flagged them early, reducing repeat-issue investigation time before escalation, with a significant impact on case efficiency.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 in case resolution processes.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NVD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