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anomalies early to minimize investigation time and prevent financial losses.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