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with 100% of cases escalated to senior reviewers within 24 hours.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resulting in a 20% reduction in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with 100% of cases meeting audit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by 20%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