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routing high-risk claims to senior review within same-day SLA with no escalation omissions.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 for policy violations and anomalous patterns across 200+ weekly cases; documented root-cause findings with supporting evidence for senior reviewer sign-off.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records capturing investigation rationale, policy evidence, and corrective actions, producing audit-ready documentation for compliance review.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