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95% compliance with risk management policies.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through root cause analysis, reducing repeat-issue investigation time by 30%.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audit-ready case documentation: investigation findings, decisions, evidence notes, corrective actions, maintaining 100% documentation completeness.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flagging them early and reducing repeat-issue investigation time by 25% through effective risk identification and control gap analysis.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VirusTotal API, AbuseIPDB, URLScan.io, and WHOIS to achieve 95% phishing detection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Python-based typosquatting detector using WHOIS and DNS resolution, achieving 100% detection rate for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using Python, Telegram bot API, and theHarvester for domain profiling, IOC enrichment, and bulk CSV input/output.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Python, Nessus, OpenVAS REST APIs, and FIRST.org EPSS scoring, achieving 90% reduction in false positives.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HTTP requests, and Bash to detect injection, auth, and SSRF vulnerabilities, documenting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policy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