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control evidence and compliance tracking.</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