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" w:after="2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evidence, decisions, and corrective actions to support audit trail completeness.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policy exceptions to validate control adherence and identify evidence gaps.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recurring case issues to flag control weaknesses and repeat process exceptions.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weekly cases by severity and eligibility, supporting consistent audit documentation.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2" w:after="2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controls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" w:after="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