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to identify risk and regulatory compliance issues.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risk mitigation.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ensure risk and regulatory compliance.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to prevent risk and regulatory non-compliance.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with EPSS scoring from FIRST.org API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