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cases by severity and policy, documenting evidence and escalating high-risk issues.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identifying policy violations and anomalous patterns for pattern review and investigation handoffs.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with findings, evidence notes, and corrective actions aligned to decision trails.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repeat issues early, reducing investigation cycles before escalation.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and privilege escalation; mapped TTPs to MITRE ATT&amp;CK and wrote PICERL incident report for FIRST.org.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for enterprise SOCs, analyzing TCP/IP traffic in Wireshark for SYN scans, DNS tunnelling, and plaintext credential exposure.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and EPSS context from FIRST.org.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vulnerabilities; documented SQL injection remediation.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EFBFF0E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security, high-volume operations review -&gt; structured investigation, escalation, and evidence documentation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