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leading to improved case resolution efficiency.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cases, identifying recurring fraud patterns to reduce repeat-issue investigation time and enhance case quality.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actions, ensuring transparent and compliant case management.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vulnerabilities, including injection, auth, and SSRF, and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