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adherence to established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of escalated cases resulting in policy adjustments.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case documentation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